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Hands-on Workshop on Molecular Docking in Drug Design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Pre-Workshop Software Installation and Preparation Guide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Computer Requirements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The following minimum system requirements are recommended for the practical activities planned during the workshop.</w:t>
      </w:r>
    </w:p>
    <w:tbl>
      <w:tblPr>
        <w:tblStyle w:val="Table1"/>
        <w:tblW w:w="90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4"/>
        <w:gridCol w:w="4558"/>
        <w:tblGridChange w:id="0">
          <w:tblGrid>
            <w:gridCol w:w="4504"/>
            <w:gridCol w:w="45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Component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Minimum / Recommended Requirement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Operating System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Windows 10 (64-bit) or Windows 11 (64-bit)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Processor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Intel Core i3 / AMD Ryzen 3 or equivalent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Memory (RAM)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 GB minimum; 16 GB recommended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Free Disk Space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 least 5 GB of available space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Screen Resolution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1366 × 768 or higher</w:t>
            </w:r>
            <w:r w:rsidDel="00000000" w:rsidR="00000000" w:rsidRPr="00000000">
              <w:rPr>
                <w:rtl w:val="0"/>
              </w:rPr>
              <w:t xml:space="preserve">;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1920 × 1080 recommended</w:t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*The practical exercises in this workshop involve single protein–ligand docking calculations using AutoDock Vina and visualization with BIOVIA Discovery Studio Visualizer. High-performance hardware or dedicated GPUs are not required.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* Participants are required to bring their own laptop/notebook for the hands-on workshop activities.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Software Requirements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The required software and workshop materials will be provided to registered participants before the workshop. Participants may also download the software from the official sources listed below.</w:t>
      </w:r>
    </w:p>
    <w:tbl>
      <w:tblPr>
        <w:tblStyle w:val="Table2"/>
        <w:tblW w:w="90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86"/>
        <w:gridCol w:w="2580"/>
        <w:gridCol w:w="3996"/>
        <w:tblGridChange w:id="0">
          <w:tblGrid>
            <w:gridCol w:w="2486"/>
            <w:gridCol w:w="2580"/>
            <w:gridCol w:w="39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Software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Purpose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Download Links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AutoDock Tools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Protein and ligand preparation; PDBQT preparation and docking setup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https://ccsb.scripps.edu/mgltools/downloads/</w:t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mgltools_win32_1.5.6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AutoDock Vina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Molecular docking calculations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https://vina.scripps.edu/downloads/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u w:val="single"/>
                  <w:rtl w:val="0"/>
                </w:rPr>
                <w:t xml:space="preserve">autodock_vina_1_1_2_win32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BIOVIA Discovery Studio Visualizer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Visualization and analysis of protein–ligand interactions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https://discover.3ds.com/discovery-studio-visualizer-download</w:t>
            </w:r>
          </w:p>
        </w:tc>
      </w:tr>
    </w:tbl>
    <w:p w:rsidR="00000000" w:rsidDel="00000000" w:rsidP="00000000" w:rsidRDefault="00000000" w:rsidRPr="00000000" w14:paraId="00000026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Workshop Content</w:t>
      </w:r>
    </w:p>
    <w:p w:rsidR="00000000" w:rsidDel="00000000" w:rsidP="00000000" w:rsidRDefault="00000000" w:rsidRPr="00000000" w14:paraId="00000028">
      <w:pPr>
        <w:spacing w:after="120" w:before="12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Introduction to Computer-Aided Drug Design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The role of in silico studies in drug discovery and development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The purpose and theoretical fundamentals of Molecular Docking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Advantages and limitations of molecular docking and ADME studies </w:t>
      </w:r>
    </w:p>
    <w:p w:rsidR="00000000" w:rsidDel="00000000" w:rsidP="00000000" w:rsidRDefault="00000000" w:rsidRPr="00000000" w14:paraId="0000002C">
      <w:pPr>
        <w:spacing w:after="120" w:before="12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Target Protein and Ligand Preparation and Molecular Docking Application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Basic working principles of AutoDock Vina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Introduction to protein and ligand file formats 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Selection of an appropriate target protein and ligand 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Retrieval of protein structures from the Protein Data Bank (PDB) 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Retrieval of ligand structures from PubChem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Preparation of molecular structures for docking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Scoring functions ,Interpretation of binding affinity and docking scores 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Performance of the molecular docking process 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Comparison of the predicted binding poses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Selection of the most appropriate binding pose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Evaluation of binding affinity values 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Examination of docking results using BIOVIA Discovery Studio Visualizer 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Generation of two- and three-dimensional interaction diagrams 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Biological interpretation of the binding poses </w:t>
      </w:r>
    </w:p>
    <w:p w:rsidR="00000000" w:rsidDel="00000000" w:rsidP="00000000" w:rsidRDefault="00000000" w:rsidRPr="00000000" w14:paraId="0000003B">
      <w:pPr>
        <w:spacing w:after="120" w:before="12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In Silico ADME Prediction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Importance of the ADME concept in drug development 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Analysis using SwissADME or similar online prediction tools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Evaluation of fundamental physicochemical properties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Evaluation of Lipinski’s Rule of Five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Examination of molecular weight, lipophilicity, and topological polar surface area 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Evaluation of blood–brain barrier permeability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Evaluation of drug-likeness and oral bioavailability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120" w:before="12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Interpretation of BOILED-Egg and bioavailability radar plots </w:t>
      </w:r>
    </w:p>
    <w:p w:rsidR="00000000" w:rsidDel="00000000" w:rsidP="00000000" w:rsidRDefault="00000000" w:rsidRPr="00000000" w14:paraId="00000044">
      <w:pPr>
        <w:spacing w:line="36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  <w:font w:name="Noto Sans Symbols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mbria" w:cs="Cambria" w:eastAsia="Cambria" w:hAnsi="Cambria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csb.scripps.edu/download/554/" TargetMode="External"/><Relationship Id="rId7" Type="http://schemas.openxmlformats.org/officeDocument/2006/relationships/hyperlink" Target="https://vina.scripps.edu/wp-content/uploads/sites/55/2020/12/autodock_vina_1_1_2_win32.msi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